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C669D4">
              <w:rPr>
                <w:rFonts w:ascii="Times New Roman" w:hAnsi="Times New Roman" w:cs="Times New Roman"/>
              </w:rPr>
              <w:fldChar w:fldCharType="begin"/>
            </w:r>
            <w:r w:rsidRPr="00C669D4">
              <w:rPr>
                <w:rFonts w:ascii="Times New Roman" w:hAnsi="Times New Roman" w:cs="Times New Roman"/>
              </w:rPr>
              <w:instrText>HYPERLINK "mailto:Afanasovskoe.sp@tatar.ru"</w:instrText>
            </w:r>
            <w:r w:rsidRPr="00C669D4">
              <w:rPr>
                <w:rFonts w:ascii="Times New Roman" w:hAnsi="Times New Roman" w:cs="Times New Roman"/>
              </w:rPr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Pr="00C669D4">
              <w:rPr>
                <w:rFonts w:ascii="Times New Roman" w:hAnsi="Times New Roman" w:cs="Times New Roman"/>
              </w:rPr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12-16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бложения в 2023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34599D" w:rsidRPr="0034599D" w:rsidRDefault="00F5394A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текущий </w:t>
      </w:r>
      <w:r w:rsidRPr="00286181"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Pr="00286181">
        <w:rPr>
          <w:rFonts w:ascii="Times New Roman" w:eastAsia="Calibri" w:hAnsi="Times New Roman" w:cs="Times New Roman"/>
          <w:sz w:val="28"/>
          <w:szCs w:val="28"/>
        </w:rPr>
        <w:t xml:space="preserve"> дороги на ул. Юбилейная с. Бо</w:t>
      </w:r>
      <w:r>
        <w:rPr>
          <w:rFonts w:ascii="Times New Roman" w:eastAsia="Calibri" w:hAnsi="Times New Roman" w:cs="Times New Roman"/>
          <w:sz w:val="28"/>
          <w:szCs w:val="28"/>
        </w:rPr>
        <w:t>льшое Афанасово, разработка ПСД, строительный контроль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3459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70761"/>
    <w:rsid w:val="00214081"/>
    <w:rsid w:val="0034599D"/>
    <w:rsid w:val="003552E7"/>
    <w:rsid w:val="007727C3"/>
    <w:rsid w:val="00BD098E"/>
    <w:rsid w:val="00F5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2</cp:revision>
  <dcterms:created xsi:type="dcterms:W3CDTF">2022-10-26T13:41:00Z</dcterms:created>
  <dcterms:modified xsi:type="dcterms:W3CDTF">2022-10-26T13:41:00Z</dcterms:modified>
</cp:coreProperties>
</file>